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A577548" w:rsidR="00113C5A" w:rsidRPr="00455A3C" w:rsidRDefault="00113C5A" w:rsidP="00F60A53">
      <w:pPr>
        <w:pStyle w:val="F2-zkladn"/>
        <w:spacing w:line="276" w:lineRule="auto"/>
        <w:rPr>
          <w:b/>
          <w:sz w:val="28"/>
          <w:szCs w:val="28"/>
        </w:rPr>
      </w:pPr>
    </w:p>
    <w:p w14:paraId="7FEA48D8" w14:textId="74AD4ED9" w:rsidR="00B123FF" w:rsidRPr="00455A3C" w:rsidRDefault="001A6ED5" w:rsidP="00F60A53">
      <w:pPr>
        <w:pStyle w:val="F2-zkladn"/>
        <w:spacing w:line="276" w:lineRule="auto"/>
        <w:rPr>
          <w:b/>
          <w:sz w:val="28"/>
          <w:szCs w:val="28"/>
        </w:rPr>
      </w:pPr>
      <w:bookmarkStart w:id="0" w:name="_Hlk104376839"/>
      <w:bookmarkEnd w:id="0"/>
      <w:r>
        <w:rPr>
          <w:b/>
          <w:sz w:val="28"/>
          <w:szCs w:val="28"/>
        </w:rPr>
        <w:t>TISKOVÁ ZPRÁVA</w:t>
      </w:r>
    </w:p>
    <w:p w14:paraId="59F979EF" w14:textId="732EC1D7"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24506624">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A26E2"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57CEB2BC"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3B694499">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E664B"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191AE8">
        <w:t>8</w:t>
      </w:r>
      <w:r w:rsidR="005420B4" w:rsidRPr="00893890">
        <w:t>.</w:t>
      </w:r>
      <w:r w:rsidR="00296EFF">
        <w:t xml:space="preserve"> </w:t>
      </w:r>
      <w:r w:rsidR="00C4206E">
        <w:t>ledna</w:t>
      </w:r>
      <w:r w:rsidR="00A30105" w:rsidRPr="00893890">
        <w:t xml:space="preserve"> 20</w:t>
      </w:r>
      <w:r w:rsidR="00A7414F" w:rsidRPr="00893890">
        <w:t>2</w:t>
      </w:r>
      <w:r w:rsidR="000F274E" w:rsidRPr="00893890">
        <w:t>3</w:t>
      </w:r>
    </w:p>
    <w:p w14:paraId="7EECF1EA" w14:textId="2B7450D3" w:rsidR="002027ED" w:rsidRPr="002027ED" w:rsidRDefault="002027ED" w:rsidP="002027ED">
      <w:pPr>
        <w:pStyle w:val="F2-zkladn"/>
        <w:tabs>
          <w:tab w:val="right" w:pos="9070"/>
        </w:tabs>
        <w:spacing w:line="276" w:lineRule="auto"/>
      </w:pPr>
    </w:p>
    <w:p w14:paraId="2E78882E" w14:textId="682D2D82" w:rsidR="00E76BE0" w:rsidRPr="00725F39" w:rsidRDefault="00C4206E"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4A3533">
        <w:rPr>
          <w:rStyle w:val="normaltextrun"/>
          <w:rFonts w:ascii="Arial" w:hAnsi="Arial" w:cs="Arial"/>
          <w:b/>
          <w:bCs/>
          <w:color w:val="000000"/>
          <w:sz w:val="28"/>
          <w:szCs w:val="28"/>
          <w:lang w:val="cs-CZ"/>
        </w:rPr>
        <w:t>Složitější ekonomické prostředí vyžaduje kvalitativní přístup</w:t>
      </w:r>
    </w:p>
    <w:p w14:paraId="53FBF2B2" w14:textId="18B9B6C1" w:rsidR="007E4CDB" w:rsidRPr="007E4CDB" w:rsidRDefault="004A3533" w:rsidP="007E4CDB">
      <w:pPr>
        <w:spacing w:line="240" w:lineRule="auto"/>
        <w:rPr>
          <w:rFonts w:asciiTheme="minorHAnsi" w:hAnsiTheme="minorHAnsi" w:cstheme="minorHAnsi"/>
          <w:b/>
          <w:bCs/>
          <w:sz w:val="24"/>
          <w:szCs w:val="24"/>
        </w:rPr>
      </w:pPr>
      <w:r>
        <w:rPr>
          <w:rFonts w:asciiTheme="minorHAnsi" w:hAnsiTheme="minorHAnsi" w:cstheme="minorHAnsi"/>
          <w:b/>
          <w:bCs/>
          <w:sz w:val="24"/>
          <w:szCs w:val="24"/>
        </w:rPr>
        <w:t xml:space="preserve">Tržní cykly jsou stále kratší a volatilnější a investoři mohou </w:t>
      </w:r>
      <w:proofErr w:type="spellStart"/>
      <w:r>
        <w:rPr>
          <w:rFonts w:asciiTheme="minorHAnsi" w:hAnsiTheme="minorHAnsi" w:cstheme="minorHAnsi"/>
          <w:b/>
          <w:bCs/>
          <w:sz w:val="24"/>
          <w:szCs w:val="24"/>
        </w:rPr>
        <w:t>benefitovat</w:t>
      </w:r>
      <w:proofErr w:type="spellEnd"/>
      <w:r>
        <w:rPr>
          <w:rFonts w:asciiTheme="minorHAnsi" w:hAnsiTheme="minorHAnsi" w:cstheme="minorHAnsi"/>
          <w:b/>
          <w:bCs/>
          <w:sz w:val="24"/>
          <w:szCs w:val="24"/>
        </w:rPr>
        <w:t xml:space="preserve"> ze snadno dostupných </w:t>
      </w:r>
      <w:proofErr w:type="spellStart"/>
      <w:r>
        <w:rPr>
          <w:rFonts w:asciiTheme="minorHAnsi" w:hAnsiTheme="minorHAnsi" w:cstheme="minorHAnsi"/>
          <w:b/>
          <w:bCs/>
          <w:sz w:val="24"/>
          <w:szCs w:val="24"/>
        </w:rPr>
        <w:t>ETFek</w:t>
      </w:r>
      <w:proofErr w:type="spellEnd"/>
      <w:r>
        <w:rPr>
          <w:rFonts w:asciiTheme="minorHAnsi" w:hAnsiTheme="minorHAnsi" w:cstheme="minorHAnsi"/>
          <w:b/>
          <w:bCs/>
          <w:sz w:val="24"/>
          <w:szCs w:val="24"/>
        </w:rPr>
        <w:t>, které mohou rychle zprostředkovat taktické změny expozic.</w:t>
      </w:r>
    </w:p>
    <w:p w14:paraId="0B057D41" w14:textId="115F5B70" w:rsidR="004A3533" w:rsidRPr="004A3533" w:rsidRDefault="004A3533" w:rsidP="004A3533">
      <w:pPr>
        <w:spacing w:after="210" w:line="360" w:lineRule="auto"/>
      </w:pPr>
      <w:r>
        <w:t>Inflace začala zpomalovat a investoři jsou optimističtí</w:t>
      </w:r>
      <w:r w:rsidRPr="004A3533">
        <w:t>, že nastane scénář měkkého přistání, Nadměrné úspory spotřebitelů nahromaděné díky pandemii byly téměř vyčerpány a předstihové ukazatele ekonomické aktivity jsou klesající. Ekonomický výhled proto zůstává nejistý, přestože centrální banky stále prosazují svůj závazek cenové stability, budou pečlivě sledovat data o růstu.</w:t>
      </w:r>
    </w:p>
    <w:p w14:paraId="5251DD9A" w14:textId="15D268C7" w:rsidR="00C4206E" w:rsidRDefault="004A3533" w:rsidP="00C4206E">
      <w:pPr>
        <w:spacing w:before="100" w:beforeAutospacing="1" w:after="100" w:afterAutospacing="1" w:line="360" w:lineRule="auto"/>
      </w:pPr>
      <w:r>
        <w:rPr>
          <w:rFonts w:asciiTheme="minorHAnsi" w:hAnsiTheme="minorHAnsi" w:cstheme="minorHAnsi"/>
          <w:b/>
          <w:bCs/>
          <w:sz w:val="24"/>
          <w:szCs w:val="24"/>
        </w:rPr>
        <w:t>Slušný výnos na konci cyklu</w:t>
      </w:r>
    </w:p>
    <w:p w14:paraId="37E7B3E3" w14:textId="29963C79" w:rsidR="004A3533" w:rsidRDefault="004A3533" w:rsidP="004A3533">
      <w:pPr>
        <w:spacing w:after="210" w:line="360" w:lineRule="auto"/>
      </w:pPr>
      <w:r w:rsidRPr="004A3533">
        <w:t>Když se ekonomické prostředí stává složitější, investoři se často musí víc snažit, aby dosáhli pozitivních výnosů. Zvýšená inflace přidává další vrstvu, kterou je nutné brát v úvahu, kvůli nepříznivému dopadu, jenž může mít na reálnou hodnotu nominálních aktiv. Klesající výnosy dluhopisů ale mohou v těchto obdobích zatraktivnit výnosy generované mimo pevný příjem, zejména pokud jsou tyto výnosy vnímány jako stabilní, odolné nebo dokonce chráněné proti inflaci, tedy podpořené kvalitními a udržitelnými peněžními toky. Faktory kvality a výnosů tak mohou v pozdějších fázích hospodářského cyklu přinést lepší výkonnost. Minulá výkonnost sice není zárukou budoucích výnosů, avšak toto očekávání podporují empirické údaje o výnosech kapitálových trhů (</w:t>
      </w:r>
      <w:r>
        <w:t>obrázek</w:t>
      </w:r>
      <w:r w:rsidRPr="004A3533">
        <w:t xml:space="preserve"> 1).</w:t>
      </w:r>
    </w:p>
    <w:p w14:paraId="1D0F8C0E" w14:textId="77777777" w:rsidR="004A3533" w:rsidRDefault="004A3533" w:rsidP="004A3533">
      <w:pPr>
        <w:pStyle w:val="F2-zkladn"/>
      </w:pPr>
    </w:p>
    <w:p w14:paraId="632FF8E7" w14:textId="77777777" w:rsidR="004A3533" w:rsidRDefault="004A3533" w:rsidP="004A3533">
      <w:pPr>
        <w:pStyle w:val="F2-zkladn"/>
      </w:pPr>
    </w:p>
    <w:p w14:paraId="5C96F755" w14:textId="77777777" w:rsidR="004A3533" w:rsidRDefault="004A3533" w:rsidP="004A3533">
      <w:pPr>
        <w:pStyle w:val="F2-zkladn"/>
      </w:pPr>
    </w:p>
    <w:p w14:paraId="32D6AC45" w14:textId="77777777" w:rsidR="004A3533" w:rsidRDefault="004A3533" w:rsidP="004A3533">
      <w:pPr>
        <w:pStyle w:val="F2-zkladn"/>
      </w:pPr>
    </w:p>
    <w:p w14:paraId="1F8FCE98" w14:textId="77777777" w:rsidR="004A3533" w:rsidRDefault="004A3533" w:rsidP="004A3533">
      <w:pPr>
        <w:pStyle w:val="F2-zkladn"/>
      </w:pPr>
    </w:p>
    <w:p w14:paraId="61450167" w14:textId="77777777" w:rsidR="004A3533" w:rsidRDefault="004A3533" w:rsidP="004A3533">
      <w:pPr>
        <w:pStyle w:val="F2-zkladn"/>
      </w:pPr>
    </w:p>
    <w:p w14:paraId="388DF318" w14:textId="77777777" w:rsidR="004A3533" w:rsidRPr="004A3533" w:rsidRDefault="004A3533" w:rsidP="004A3533">
      <w:pPr>
        <w:pStyle w:val="F2-zkladn"/>
      </w:pPr>
    </w:p>
    <w:p w14:paraId="7907EF45" w14:textId="77777777" w:rsidR="004A3533" w:rsidRDefault="004A3533" w:rsidP="004A3533">
      <w:pPr>
        <w:pStyle w:val="F2-zkladn"/>
        <w:rPr>
          <w:rFonts w:asciiTheme="minorHAnsi" w:hAnsiTheme="minorHAnsi" w:cstheme="minorHAnsi"/>
          <w:b/>
          <w:bCs/>
          <w:sz w:val="24"/>
          <w:szCs w:val="24"/>
        </w:rPr>
      </w:pPr>
      <w:r w:rsidRPr="004A3533">
        <w:rPr>
          <w:rFonts w:asciiTheme="minorHAnsi" w:hAnsiTheme="minorHAnsi" w:cstheme="minorHAnsi"/>
          <w:b/>
          <w:bCs/>
          <w:sz w:val="24"/>
          <w:szCs w:val="24"/>
        </w:rPr>
        <w:lastRenderedPageBreak/>
        <w:t>Obrázek</w:t>
      </w:r>
      <w:r w:rsidRPr="00EA4F03">
        <w:rPr>
          <w:rFonts w:asciiTheme="minorHAnsi" w:hAnsiTheme="minorHAnsi" w:cstheme="minorHAnsi"/>
          <w:b/>
          <w:bCs/>
          <w:sz w:val="24"/>
          <w:szCs w:val="24"/>
        </w:rPr>
        <w:t xml:space="preserve"> 1: </w:t>
      </w:r>
      <w:r>
        <w:rPr>
          <w:rFonts w:asciiTheme="minorHAnsi" w:hAnsiTheme="minorHAnsi" w:cstheme="minorHAnsi"/>
          <w:b/>
          <w:bCs/>
          <w:sz w:val="24"/>
          <w:szCs w:val="24"/>
        </w:rPr>
        <w:t>Typická výkonnost faktorů v průběhu hospodářského cyklu</w:t>
      </w:r>
      <w:r w:rsidRPr="00EA4F03">
        <w:rPr>
          <w:rFonts w:asciiTheme="minorHAnsi" w:hAnsiTheme="minorHAnsi" w:cstheme="minorHAnsi"/>
          <w:b/>
          <w:bCs/>
          <w:sz w:val="24"/>
          <w:szCs w:val="24"/>
        </w:rPr>
        <w:t xml:space="preserve"> </w:t>
      </w:r>
    </w:p>
    <w:p w14:paraId="617087A1" w14:textId="634124D7" w:rsidR="00EA4F03" w:rsidRDefault="004A3533" w:rsidP="00EA4F03">
      <w:pPr>
        <w:spacing w:line="276" w:lineRule="auto"/>
      </w:pPr>
      <w:r w:rsidRPr="00AC3A2E">
        <w:rPr>
          <w:rFonts w:ascii="Times New Roman" w:hAnsi="Times New Roman" w:cs="Times New Roman"/>
          <w:noProof/>
          <w:sz w:val="24"/>
          <w:szCs w:val="24"/>
        </w:rPr>
        <w:drawing>
          <wp:inline distT="0" distB="0" distL="0" distR="0" wp14:anchorId="5C27BD67" wp14:editId="56DE8F09">
            <wp:extent cx="5759450" cy="2620645"/>
            <wp:effectExtent l="0" t="0" r="0" b="8255"/>
            <wp:docPr id="1068321208" name="Obrázek 1"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20645"/>
                    </a:xfrm>
                    <a:prstGeom prst="rect">
                      <a:avLst/>
                    </a:prstGeom>
                    <a:noFill/>
                    <a:ln>
                      <a:noFill/>
                    </a:ln>
                  </pic:spPr>
                </pic:pic>
              </a:graphicData>
            </a:graphic>
          </wp:inline>
        </w:drawing>
      </w:r>
    </w:p>
    <w:p w14:paraId="46F1A4FA" w14:textId="77777777" w:rsidR="004A3533" w:rsidRPr="004A3533" w:rsidRDefault="004A3533" w:rsidP="004A3533">
      <w:pPr>
        <w:spacing w:after="210" w:line="240" w:lineRule="auto"/>
        <w:rPr>
          <w:i/>
          <w:iCs/>
          <w:sz w:val="18"/>
          <w:szCs w:val="18"/>
        </w:rPr>
      </w:pPr>
      <w:r w:rsidRPr="004A3533">
        <w:rPr>
          <w:i/>
          <w:iCs/>
          <w:sz w:val="18"/>
          <w:szCs w:val="18"/>
        </w:rPr>
        <w:t>Pouze pro ilustraci. Minulá výkonnost není indikátorem budoucích výnosů.</w:t>
      </w:r>
    </w:p>
    <w:p w14:paraId="11E2CC22" w14:textId="5BB0F39D" w:rsidR="004A3533" w:rsidRPr="004A3533" w:rsidRDefault="004A3533" w:rsidP="004A3533">
      <w:pPr>
        <w:spacing w:after="210" w:line="240" w:lineRule="auto"/>
        <w:rPr>
          <w:i/>
          <w:iCs/>
          <w:sz w:val="18"/>
          <w:szCs w:val="18"/>
        </w:rPr>
      </w:pPr>
      <w:r w:rsidRPr="004A3533">
        <w:rPr>
          <w:i/>
          <w:iCs/>
          <w:sz w:val="18"/>
          <w:szCs w:val="18"/>
        </w:rPr>
        <w:t xml:space="preserve">Zdroj: </w:t>
      </w:r>
      <w:proofErr w:type="spellStart"/>
      <w:r w:rsidRPr="004A3533">
        <w:rPr>
          <w:i/>
          <w:iCs/>
          <w:sz w:val="18"/>
          <w:szCs w:val="18"/>
        </w:rPr>
        <w:t>Fidelity</w:t>
      </w:r>
      <w:proofErr w:type="spellEnd"/>
      <w:r w:rsidRPr="004A3533">
        <w:rPr>
          <w:i/>
          <w:iCs/>
          <w:sz w:val="18"/>
          <w:szCs w:val="18"/>
        </w:rPr>
        <w:t xml:space="preserve"> </w:t>
      </w:r>
      <w:proofErr w:type="spellStart"/>
      <w:r w:rsidRPr="004A3533">
        <w:rPr>
          <w:i/>
          <w:iCs/>
          <w:sz w:val="18"/>
          <w:szCs w:val="18"/>
        </w:rPr>
        <w:t>Investments</w:t>
      </w:r>
      <w:proofErr w:type="spellEnd"/>
      <w:r w:rsidRPr="004A3533">
        <w:rPr>
          <w:i/>
          <w:iCs/>
          <w:sz w:val="18"/>
          <w:szCs w:val="18"/>
        </w:rPr>
        <w:t xml:space="preserve"> (</w:t>
      </w:r>
      <w:proofErr w:type="spellStart"/>
      <w:r w:rsidRPr="004A3533">
        <w:rPr>
          <w:i/>
          <w:iCs/>
          <w:sz w:val="18"/>
          <w:szCs w:val="18"/>
        </w:rPr>
        <w:t>Asset</w:t>
      </w:r>
      <w:proofErr w:type="spellEnd"/>
      <w:r w:rsidRPr="004A3533">
        <w:rPr>
          <w:i/>
          <w:iCs/>
          <w:sz w:val="18"/>
          <w:szCs w:val="18"/>
        </w:rPr>
        <w:t xml:space="preserve"> </w:t>
      </w:r>
      <w:proofErr w:type="spellStart"/>
      <w:r w:rsidRPr="004A3533">
        <w:rPr>
          <w:i/>
          <w:iCs/>
          <w:sz w:val="18"/>
          <w:szCs w:val="18"/>
        </w:rPr>
        <w:t>Allocation</w:t>
      </w:r>
      <w:proofErr w:type="spellEnd"/>
      <w:r w:rsidRPr="004A3533">
        <w:rPr>
          <w:i/>
          <w:iCs/>
          <w:sz w:val="18"/>
          <w:szCs w:val="18"/>
        </w:rPr>
        <w:t xml:space="preserve"> </w:t>
      </w:r>
      <w:proofErr w:type="spellStart"/>
      <w:r w:rsidRPr="004A3533">
        <w:rPr>
          <w:i/>
          <w:iCs/>
          <w:sz w:val="18"/>
          <w:szCs w:val="18"/>
        </w:rPr>
        <w:t>Research</w:t>
      </w:r>
      <w:proofErr w:type="spellEnd"/>
      <w:r w:rsidRPr="004A3533">
        <w:rPr>
          <w:i/>
          <w:iCs/>
          <w:sz w:val="18"/>
          <w:szCs w:val="18"/>
        </w:rPr>
        <w:t xml:space="preserve"> Team), prosinec 2023. Analýza na základě historické výkonnosti různých faktorů během hospodářských cyklů od roku 1986. Modely výkonnosti faktorů se mohou v budoucích cyklech lišit. Hodnotový kompozit je kombinovaný průměrný žebříček akcií ve stejně váženém horním </w:t>
      </w:r>
      <w:proofErr w:type="spellStart"/>
      <w:r w:rsidRPr="004A3533">
        <w:rPr>
          <w:i/>
          <w:iCs/>
          <w:sz w:val="18"/>
          <w:szCs w:val="18"/>
        </w:rPr>
        <w:t>kvintilu</w:t>
      </w:r>
      <w:proofErr w:type="spellEnd"/>
      <w:r w:rsidRPr="004A3533">
        <w:rPr>
          <w:i/>
          <w:iCs/>
          <w:sz w:val="18"/>
          <w:szCs w:val="18"/>
        </w:rPr>
        <w:t xml:space="preserve"> (podle poměru účetní hodnoty k ceně) a akcií ve stejně váženém horním </w:t>
      </w:r>
      <w:proofErr w:type="spellStart"/>
      <w:r w:rsidRPr="004A3533">
        <w:rPr>
          <w:i/>
          <w:iCs/>
          <w:sz w:val="18"/>
          <w:szCs w:val="18"/>
        </w:rPr>
        <w:t>kvintilu</w:t>
      </w:r>
      <w:proofErr w:type="spellEnd"/>
      <w:r w:rsidRPr="004A3533">
        <w:rPr>
          <w:i/>
          <w:iCs/>
          <w:sz w:val="18"/>
          <w:szCs w:val="18"/>
        </w:rPr>
        <w:t xml:space="preserve"> (podle výnosu ze zisku) indexu Russell 1000. Výnosy z </w:t>
      </w:r>
      <w:proofErr w:type="spellStart"/>
      <w:r w:rsidRPr="004A3533">
        <w:rPr>
          <w:i/>
          <w:iCs/>
          <w:sz w:val="18"/>
          <w:szCs w:val="18"/>
        </w:rPr>
        <w:t>momenta</w:t>
      </w:r>
      <w:proofErr w:type="spellEnd"/>
      <w:r w:rsidRPr="004A3533">
        <w:rPr>
          <w:i/>
          <w:iCs/>
          <w:sz w:val="18"/>
          <w:szCs w:val="18"/>
        </w:rPr>
        <w:t xml:space="preserve"> jsou rovnoměrně váženým horním </w:t>
      </w:r>
      <w:proofErr w:type="spellStart"/>
      <w:r w:rsidRPr="004A3533">
        <w:rPr>
          <w:i/>
          <w:iCs/>
          <w:sz w:val="18"/>
          <w:szCs w:val="18"/>
        </w:rPr>
        <w:t>kvintilem</w:t>
      </w:r>
      <w:proofErr w:type="spellEnd"/>
      <w:r w:rsidRPr="004A3533">
        <w:rPr>
          <w:i/>
          <w:iCs/>
          <w:sz w:val="18"/>
          <w:szCs w:val="18"/>
        </w:rPr>
        <w:t xml:space="preserve"> (podle klouzavých 12měsíčních výnosů) indexu Russell 1000. Výnosy z kvality jsou rovnoměrně vážený horní </w:t>
      </w:r>
      <w:proofErr w:type="spellStart"/>
      <w:r w:rsidRPr="004A3533">
        <w:rPr>
          <w:i/>
          <w:iCs/>
          <w:sz w:val="18"/>
          <w:szCs w:val="18"/>
        </w:rPr>
        <w:t>kvintil</w:t>
      </w:r>
      <w:proofErr w:type="spellEnd"/>
      <w:r w:rsidRPr="004A3533">
        <w:rPr>
          <w:i/>
          <w:iCs/>
          <w:sz w:val="18"/>
          <w:szCs w:val="18"/>
        </w:rPr>
        <w:t xml:space="preserve"> (podle výnosnosti vlastního kapitálu) indexu Russell 1000. Výnosy s nízkou volatilitou jsou roční výnosy stejně váženého spodního </w:t>
      </w:r>
      <w:proofErr w:type="spellStart"/>
      <w:r w:rsidRPr="004A3533">
        <w:rPr>
          <w:i/>
          <w:iCs/>
          <w:sz w:val="18"/>
          <w:szCs w:val="18"/>
        </w:rPr>
        <w:t>kvintilu</w:t>
      </w:r>
      <w:proofErr w:type="spellEnd"/>
      <w:r w:rsidRPr="004A3533">
        <w:rPr>
          <w:i/>
          <w:iCs/>
          <w:sz w:val="18"/>
          <w:szCs w:val="18"/>
        </w:rPr>
        <w:t xml:space="preserve"> (podle směrodatné odchylky týdenních cenových výnosů) indexu Russell 1000. Výnosový kompozit je stejně vážený horní </w:t>
      </w:r>
      <w:proofErr w:type="spellStart"/>
      <w:r w:rsidRPr="004A3533">
        <w:rPr>
          <w:i/>
          <w:iCs/>
          <w:sz w:val="18"/>
          <w:szCs w:val="18"/>
        </w:rPr>
        <w:t>kvintil</w:t>
      </w:r>
      <w:proofErr w:type="spellEnd"/>
      <w:r w:rsidRPr="004A3533">
        <w:rPr>
          <w:i/>
          <w:iCs/>
          <w:sz w:val="18"/>
          <w:szCs w:val="18"/>
        </w:rPr>
        <w:t xml:space="preserve"> (podle dividendového výnosu) nebo stejně vážený index Russell 1000.</w:t>
      </w:r>
    </w:p>
    <w:p w14:paraId="74DC952E" w14:textId="4D7C5DED" w:rsidR="00EA4F03" w:rsidRPr="00EA4F03" w:rsidRDefault="004A3533" w:rsidP="00C4206E">
      <w:pPr>
        <w:pStyle w:val="F2-zkladn"/>
        <w:rPr>
          <w:rFonts w:asciiTheme="minorHAnsi" w:hAnsiTheme="minorHAnsi" w:cstheme="minorHAnsi"/>
          <w:b/>
          <w:bCs/>
          <w:sz w:val="24"/>
          <w:szCs w:val="24"/>
        </w:rPr>
      </w:pPr>
      <w:r>
        <w:rPr>
          <w:rFonts w:asciiTheme="minorHAnsi" w:hAnsiTheme="minorHAnsi" w:cstheme="minorHAnsi"/>
          <w:b/>
          <w:bCs/>
          <w:sz w:val="24"/>
          <w:szCs w:val="24"/>
        </w:rPr>
        <w:t>Kvalitní výnosová ETF: Pomalý a stabilní růst vítězí</w:t>
      </w:r>
    </w:p>
    <w:p w14:paraId="3554460C" w14:textId="77777777" w:rsidR="004A3533" w:rsidRDefault="004A3533" w:rsidP="004A3533">
      <w:pPr>
        <w:spacing w:after="210" w:line="360" w:lineRule="auto"/>
      </w:pPr>
      <w:r w:rsidRPr="004A3533">
        <w:t xml:space="preserve">Ve složitějším ekonomickém prostředí dává pro investory smysl více zvažovat investiční riziko než jen nakupovat to, co trh. Proto jsou fondy </w:t>
      </w:r>
      <w:proofErr w:type="spellStart"/>
      <w:r w:rsidRPr="004A3533">
        <w:t>Fidelity</w:t>
      </w:r>
      <w:proofErr w:type="spellEnd"/>
      <w:r w:rsidRPr="004A3533">
        <w:t xml:space="preserve"> </w:t>
      </w:r>
      <w:proofErr w:type="spellStart"/>
      <w:r w:rsidRPr="004A3533">
        <w:t>Quality</w:t>
      </w:r>
      <w:proofErr w:type="spellEnd"/>
      <w:r w:rsidRPr="004A3533">
        <w:t xml:space="preserve"> </w:t>
      </w:r>
      <w:proofErr w:type="spellStart"/>
      <w:r w:rsidRPr="004A3533">
        <w:t>Income</w:t>
      </w:r>
      <w:proofErr w:type="spellEnd"/>
      <w:r w:rsidRPr="004A3533">
        <w:t xml:space="preserve"> ETF pro tuto fázi cyklu vhodné.</w:t>
      </w:r>
    </w:p>
    <w:p w14:paraId="5CE758D4" w14:textId="77777777" w:rsidR="004A3533" w:rsidRPr="004A3533" w:rsidRDefault="004A3533" w:rsidP="004A3533">
      <w:pPr>
        <w:spacing w:after="210" w:line="360" w:lineRule="auto"/>
      </w:pPr>
      <w:r w:rsidRPr="004A3533">
        <w:t xml:space="preserve">Jedná se o pasivní fondy používající indexy vytvářené společností </w:t>
      </w:r>
      <w:proofErr w:type="spellStart"/>
      <w:r w:rsidRPr="004A3533">
        <w:t>Fidelity</w:t>
      </w:r>
      <w:proofErr w:type="spellEnd"/>
      <w:r w:rsidRPr="004A3533">
        <w:t xml:space="preserve">. Fondy investují pomocí procesů pro identifikaci a výběr společností, které vykazují relativně vysokou kvalitu, dividendový výnos a charakteristiky udržitelnosti, přičemž využívají kritéria stanovená analytiky společnosti </w:t>
      </w:r>
      <w:proofErr w:type="spellStart"/>
      <w:r w:rsidRPr="004A3533">
        <w:t>Fidelity</w:t>
      </w:r>
      <w:proofErr w:type="spellEnd"/>
      <w:r w:rsidRPr="004A3533">
        <w:t>. Používají také statistické modelování s cílem omezit nežádoucí expozici vůči makro faktorům, například ve vztahu k sektorovým, lokálním nebo kapitalizačním zkreslením.</w:t>
      </w:r>
    </w:p>
    <w:p w14:paraId="30DE3FCD" w14:textId="77777777" w:rsidR="004A3533" w:rsidRPr="004A3533" w:rsidRDefault="004A3533" w:rsidP="004A3533">
      <w:pPr>
        <w:spacing w:after="210" w:line="360" w:lineRule="auto"/>
      </w:pPr>
      <w:r w:rsidRPr="004A3533">
        <w:t xml:space="preserve">Výsledná sada regionálních fondů ETF </w:t>
      </w:r>
      <w:proofErr w:type="spellStart"/>
      <w:r w:rsidRPr="004A3533">
        <w:t>Quality</w:t>
      </w:r>
      <w:proofErr w:type="spellEnd"/>
      <w:r w:rsidRPr="004A3533">
        <w:t xml:space="preserve"> </w:t>
      </w:r>
      <w:proofErr w:type="spellStart"/>
      <w:r w:rsidRPr="004A3533">
        <w:t>Income</w:t>
      </w:r>
      <w:proofErr w:type="spellEnd"/>
      <w:r w:rsidRPr="004A3533">
        <w:t xml:space="preserve"> usiluje o zvýšení výnosu ve srovnání s podkladovým indexem regionálního akciového trhu, avšak s nízkou chybovostí při sledování. Každý ETF lze použít v rámci portfolií zaměřených na výnosy nebo jako náhradu čistě pasivního řešení sledujícího akciového indexu.</w:t>
      </w:r>
    </w:p>
    <w:p w14:paraId="52CB6237" w14:textId="77777777" w:rsidR="004A3533" w:rsidRPr="004A3533" w:rsidRDefault="004A3533" w:rsidP="004A3533">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lastRenderedPageBreak/>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Pr="00292EC0" w:rsidRDefault="00D404D5" w:rsidP="00292EC0">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lastRenderedPageBreak/>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237B7044" w14:textId="1881A9A7" w:rsidR="00191AE8" w:rsidRDefault="00191AE8" w:rsidP="002027ED">
      <w:pPr>
        <w:pStyle w:val="F2-zkladn"/>
      </w:pPr>
      <w:r w:rsidRPr="00191AE8">
        <w:t>MKAT11957</w:t>
      </w:r>
    </w:p>
    <w:sectPr w:rsidR="00191AE8"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7235" w14:textId="77777777" w:rsidR="0033156B" w:rsidRDefault="0033156B">
      <w:r>
        <w:separator/>
      </w:r>
    </w:p>
  </w:endnote>
  <w:endnote w:type="continuationSeparator" w:id="0">
    <w:p w14:paraId="03F581E6" w14:textId="77777777" w:rsidR="0033156B" w:rsidRDefault="0033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13ED" w14:textId="77777777" w:rsidR="0033156B" w:rsidRDefault="0033156B">
      <w:r>
        <w:separator/>
      </w:r>
    </w:p>
  </w:footnote>
  <w:footnote w:type="continuationSeparator" w:id="0">
    <w:p w14:paraId="264FFE78" w14:textId="77777777" w:rsidR="0033156B" w:rsidRDefault="0033156B">
      <w:r>
        <w:continuationSeparator/>
      </w:r>
    </w:p>
  </w:footnote>
  <w:footnote w:type="continuationNotice" w:id="1">
    <w:p w14:paraId="2CCAB3F0" w14:textId="77777777" w:rsidR="0033156B" w:rsidRDefault="00331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0"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6"/>
  </w:num>
  <w:num w:numId="2" w16cid:durableId="1638339720">
    <w:abstractNumId w:val="29"/>
  </w:num>
  <w:num w:numId="3" w16cid:durableId="1582174134">
    <w:abstractNumId w:val="34"/>
  </w:num>
  <w:num w:numId="4" w16cid:durableId="1727561179">
    <w:abstractNumId w:val="21"/>
  </w:num>
  <w:num w:numId="5" w16cid:durableId="56979214">
    <w:abstractNumId w:val="23"/>
  </w:num>
  <w:num w:numId="6" w16cid:durableId="52699439">
    <w:abstractNumId w:val="19"/>
  </w:num>
  <w:num w:numId="7" w16cid:durableId="1526748972">
    <w:abstractNumId w:val="32"/>
  </w:num>
  <w:num w:numId="8" w16cid:durableId="1090007024">
    <w:abstractNumId w:val="24"/>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7"/>
  </w:num>
  <w:num w:numId="22" w16cid:durableId="1722094048">
    <w:abstractNumId w:val="12"/>
  </w:num>
  <w:num w:numId="23" w16cid:durableId="1472819905">
    <w:abstractNumId w:val="10"/>
  </w:num>
  <w:num w:numId="24" w16cid:durableId="1979648277">
    <w:abstractNumId w:val="13"/>
  </w:num>
  <w:num w:numId="25" w16cid:durableId="1164123908">
    <w:abstractNumId w:val="17"/>
  </w:num>
  <w:num w:numId="26" w16cid:durableId="2000425049">
    <w:abstractNumId w:val="31"/>
  </w:num>
  <w:num w:numId="27" w16cid:durableId="339890089">
    <w:abstractNumId w:val="26"/>
  </w:num>
  <w:num w:numId="28" w16cid:durableId="571113239">
    <w:abstractNumId w:val="18"/>
  </w:num>
  <w:num w:numId="29" w16cid:durableId="1961842128">
    <w:abstractNumId w:val="20"/>
  </w:num>
  <w:num w:numId="30" w16cid:durableId="1308898731">
    <w:abstractNumId w:val="22"/>
  </w:num>
  <w:num w:numId="31" w16cid:durableId="297690701">
    <w:abstractNumId w:val="28"/>
  </w:num>
  <w:num w:numId="32" w16cid:durableId="1759861628">
    <w:abstractNumId w:val="35"/>
  </w:num>
  <w:num w:numId="33" w16cid:durableId="2037387264">
    <w:abstractNumId w:val="25"/>
  </w:num>
  <w:num w:numId="34" w16cid:durableId="1056201924">
    <w:abstractNumId w:val="33"/>
  </w:num>
  <w:num w:numId="35" w16cid:durableId="1984849997">
    <w:abstractNumId w:val="36"/>
  </w:num>
  <w:num w:numId="36" w16cid:durableId="1007513551">
    <w:abstractNumId w:val="14"/>
  </w:num>
  <w:num w:numId="37" w16cid:durableId="129606093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97C"/>
    <w:rsid w:val="00191AE8"/>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6031EF"/>
    <w:rsid w:val="0060337A"/>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677E3"/>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4F5B"/>
    <w:rsid w:val="00C250E8"/>
    <w:rsid w:val="00C26014"/>
    <w:rsid w:val="00C264F8"/>
    <w:rsid w:val="00C27D23"/>
    <w:rsid w:val="00C31313"/>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C4B"/>
    <w:rsid w:val="00EB5A09"/>
    <w:rsid w:val="00EB5B49"/>
    <w:rsid w:val="00EB6DDD"/>
    <w:rsid w:val="00EB6E94"/>
    <w:rsid w:val="00EC1C37"/>
    <w:rsid w:val="00EC4A33"/>
    <w:rsid w:val="00EC4A87"/>
    <w:rsid w:val="00EC6271"/>
    <w:rsid w:val="00EC7556"/>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1267</Words>
  <Characters>7482</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8732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2024-01-08T08:50:00Z</dcterms:created>
  <dcterms:modified xsi:type="dcterms:W3CDTF">2024-01-08T08:50:00Z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